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24 105 vom 11. Juni 2024</w:t>
      </w:r>
    </w:p>
    <w:p>
      <w:r>
        <w:t>VS Kantonsgericht, 2024-06-11, FR</w:t>
      </w:r>
    </w:p>
    <w:p>
      <w:r>
        <w:rPr>
          <w:b/>
        </w:rPr>
        <w:t xml:space="preserve">Quelle: </w:t>
      </w:r>
      <w:r>
        <w:t>https://mcp.opencaselaw.ch/entscheid/vs_gerichte_F1 24 105</w:t>
      </w:r>
    </w:p>
    <w:p>
      <w:r>
        <w:t>FR: VS_GERICHTE F1 24 105 du 11 juin 2024</w:t>
      </w:r>
    </w:p>
    <w:p>
      <w:r>
        <w:t>IT: VS_GERICHTE F1 24 105 del 11 giugno 2024</w:t>
      </w:r>
    </w:p>
    <w:p>
      <w:pPr>
        <w:pStyle w:val="Heading2"/>
      </w:pPr>
      <w:r>
        <w:t>Regeste</w:t>
      </w:r>
    </w:p>
    <w:p>
      <w:r>
        <w:t>F1 24 105 ARRÊT DU 11 JUIN 2024 Tribunal cantonal du Valais Cour de droit fiscal Composition : Frédéric Fellay, président ; Dr Thierry Schnyder, juge ; Philippe Imboden, juge assesseur ; en la cause X _________, recourant, représenté par Maître Dominique Morand, avocat, 1951 Sion contre SERVICE CANTONAL DES CONTRIBUTIONS, autorité attaquée (Impôts cantonaux et communaux et impôt fédéral direct, période fiscale 2018 ; nouvelle décision à la suite de l’arrêt du Tribunal fédéral 9C_218/2023 du 6 février 2024) recours contre la décision du 28 janvier 2022</w:t>
      </w:r>
    </w:p>
    <w:p>
      <w:pPr>
        <w:pStyle w:val="Heading2"/>
      </w:pPr>
      <w:r>
        <w:t>Erwägungen</w:t>
      </w:r>
    </w:p>
    <w:p>
      <w:r>
        <w:rPr>
          <w:b/>
        </w:rPr>
        <w:t>E. 1</w:t>
      </w:r>
    </w:p>
    <w:p>
      <w:r>
        <w:t>Les arrêts du Tribunal fédéral acquérant force de chose jugée dès leur prononcé (art. 61 LTF), ils lient les juridictions cantonales auxquelles ils renvoient des causes pour nouvelle décision (art. 107 al. 2 LTF).</w:t>
      </w:r>
    </w:p>
    <w:p>
      <w:r>
        <w:rPr>
          <w:b/>
        </w:rPr>
        <w:t>E. 2</w:t>
      </w:r>
    </w:p>
    <w:p>
      <w:r>
        <w:t>Dans son arrêt du 6 février 2024, le Tribunal fédéral a relevé que la pratique et la jurisprudence admettaient de longue date que la déduction forfaitaire, expressément limitée aux immeubles de la fortune privée par l'art. 32 al. 4 LIFD, n’était applicable qu'aux immeubles affectés de manière prépondérante à un usage privé, c'est-à-dire qui servaient en premier lieu à l'habitation. L'alinéa 4 de la disposition précitée avait concrétisé cette pratique et prescrivait que la déduction forfaitaire n'entrait pas en ligne de compte pour des immeubles de la fortune privée utilisés par des tiers principalement à des fins commerciales. Le Tribunal fédéral a ensuite rappelé qu’il fallait comprendre, sous les termes « utilisés par des tiers principalement à des fins commerciales », tous les usages qui ne servaient pas (avant tout) à l’habitation privée. En effet, la déduction forfaitaire avait été instaurée en tant que raison principale dans le but de simplifier le travail administratif. Le contribuable, qui pouvait la choisir à la place de la déduction des frais effectifs, était ainsi dispensé de collecter et de conserver les pièces justificatives, alors que l'administration fiscale s'épargnait le contrôle de ces documents. Dans ce contexte, le Tribunal fédéral a observé que la déduction forfaitaire ne devait toutefois pas conduire à la violation du principe légal de l'imposition du revenu net des immeubles faisant partie de la fortune privée : elle ne pouvait dès lors pas être appliquée lorsque les résultats qui en découlaient étaient manifestement incorrects. De plus, même s'il s'agissait d'immeubles faisant partie de la fortune privée, la déduction forfaitaire n’était pas accordée lorsque l'on pouvait établir que le propriétaire foncier n'avait pas de frais d'entretien à supporter parce qu'ils étaient régulièrement pris en charge par le locataire ou le fermier. En pareils cas, le propriétaire foncier ne pouvait déduire que ses dépenses effectives, car c'était uniquement de cette manière qu'il serait imposé sur la base de son revenu net. Ceci valait a fortiori pour les immeubles loués pour une utilisation à des fins commerciales (consid. 4.2 de l’arrêt fédéral de renvoi).</w:t>
      </w:r>
    </w:p>
    <w:p>
      <w:r>
        <w:rPr>
          <w:b/>
        </w:rPr>
        <w:t>E. 3</w:t>
      </w:r>
    </w:p>
    <w:p>
      <w:r>
        <w:t>Sur la base de ce qui précède, le Tribunal fédéral a relevé que les « box-garages » concernés ne constituaient pas des parties d'un immeuble qui seraient affectées à l'habitation privée. Il a cependant jugé que, s'il devait être établi que tout ou partie de ces « box-garages » étaient utilisés à des fins purement privées – « ce qui semblait du reste être corroboré par la liste des locataires [que le recourant] a[vait] fournie devant la juridiction cantonale » -, ce dernier devrait être en mesure, cas échéant, de déduire des frais d'entretien</w:t>
      </w:r>
    </w:p>
    <w:p>
      <w:r>
        <w:t>- 5 - forfaitaires y relatifs. Dans le contexte de l'application de l'art. 32 al. 4 LIFD, il ne se justifiait en effet pas de faire le départ entre le traitement fiscal lié à un immeuble loué à des fins d'habitation de celui loué en tant que garage ou en tant que « box-garage » par un locataire n'exerçant pas d'activité commerciale et qui l'utilisait à des fins privées (consid. 4.4 de l’arrêt fédéral de renvoi).</w:t>
      </w:r>
    </w:p>
    <w:p>
      <w:r>
        <w:rPr>
          <w:b/>
        </w:rPr>
        <w:t>E. 4</w:t>
      </w:r>
    </w:p>
    <w:p>
      <w:r>
        <w:t>Requise de reprendre cette affaire tranchée en son temps par la CCR, la Cour de droit fiscal a été expressément invitée par le Tribunal fédéral à constater la nature de l’utilisation des « box-garages » litigieux, à savoir « utilisation privée ou utilisation dans le cadre d’une activité commerciale ou professionnelle et pour laquelle ces derniers supporteraient le paiement de frais d’entretien » et à accorder, le cas échéant, la déduction forfaitaire pour les « box-garages » loués à des fins privées (consid. 5 de l’arrêt fédéral de renvoi). La question de savoir si, dans le cas d’espèce, l’octroi d’une déduction forfaitaire viole le principe légal de l'imposition du revenu net des immeubles faisant partie de la fortune privée, comme le suggère le SCC, s’écarte de la ligne des instructions contraignantes de l’arrêt fédéral de renvoi. L’objection du fisc s’avère de toute manière infondée : les frais d’étanchéité de 7'609 fr. 12 documentés par le recourant à titre d’exemple de frais encourus en 2018 suffisent, en effet, à exclure que l’application d’une déduction forfaitaire puisse en l’occurrence aboutir à un résultat manifestement incorrect. Il appert au surplus des contrats- type versés en cause le 23 avril 2024 par le recourant que les frais d’entretien ne sont pas mis à la charge des locataires, mais supportés par le bailleur. Cela étant, il convient de constater que le recourant a apporté, céans, les clarifications nécessaires par rapport au caractère, privé ou commercial, de l’utilisation des « box- garages », y compris sur les locations particulières que le SCC avait mises en cause dans sa détermination du 27 mars 2024. En l’état, aucun élément ne laisse à penser que la dernière liste des « box-garages » utilisés commercialement déposée par le recourant ne correspondrait pas à la réalité. Le SCC ne le prétend d’ailleurs pas ni ne soutient que des investigations complémentaires devraient être administrées pour statuer en connaissance de cause. Personne ne suggère en particulier de mettre en œuvre l’inspection des lieux que le recourant avait requise en son temps devant la CCR. L’on ne discerne pas comment cette mesure d’instruction pourrait valablement renseigner le Tribunal sur l’utilisation des « box- garages » litigieux.</w:t>
      </w:r>
    </w:p>
    <w:p>
      <w:r>
        <w:rPr>
          <w:b/>
        </w:rPr>
        <w:t>E. 5</w:t>
      </w:r>
    </w:p>
    <w:p>
      <w:r>
        <w:t>Partant et conformément à l’arrêt fédéral de renvoi, il s’impose d’accorder au recourant la déduction forfaitaire pour les « box-garages » loués à des fins privées, qui totalisent 233'621 fr. HT de location (cf. let. D.a et D.b du présent arrêt). La décision sur réclamation doit donc être réformée dans ce sens (art. 150 al. 3 LF ; art. 80 al. 1 let. et 60 al. 1 LPJA).</w:t>
      </w:r>
    </w:p>
    <w:p>
      <w:r>
        <w:t>- 6 - Cette issue du litige équivaut à admettre le recours formé par X _________, conformément aux dernières conclusions prises par son avocat, ceci tant en matière d’IFD qu’ICC (cf. consid. 6 de l’arrêt fédéral de renvoi soulignant la similarité des bases légales [art. 32 LIFD dans sa teneur en vigueur en 2018 et art. 2 de l’ancienne ordonnance sur les frais relatifs aux immeubles du 24 août 1992 [RO 1992 p. 1792] ; art. 9 al. 3 LHID, 28 LF dans sa teneur en vigueur en 2018 et 16 al. 2 RALF] et l’identité du raisonnement).</w:t>
      </w:r>
    </w:p>
    <w:p>
      <w:r>
        <w:rPr>
          <w:b/>
        </w:rPr>
        <w:t>E. 6</w:t>
      </w:r>
    </w:p>
    <w:p>
      <w:r>
        <w:t>L’arrêt est rendu sans frais (art. 150 al. 3 LF, 144 al. 1 LIFD et 89 al. 1 a contrario LPJA ; art. 89 al. 4 LPJA). Le recourant a procédé seul devant la CCR, mais agit céans par le biais d’un mandataire professionnel. Il se justifie en conséquence de lui allouer une indemnité de partie de 50 fr. pour la procédure devant la CCR et des dépens de 730 fr. (débours et TVA inclus) pour la procédure devant le Tribunal cantonal, où le travail de son avocat a essentiellement consisté en la rédaction de trois déterminations d’une à deux pages chacune (art. 144 al. 4 LIFD, art. 64 al. 1 à 3 PA, art. 91 al. 1 LPJA, art. 4, 27, 29 al. 2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